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DF3046" w:rsidRPr="00DF3046" w:rsidRDefault="00DF3046" w:rsidP="00DF3046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DF3046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DF3046">
        <w:rPr>
          <w:rFonts w:ascii="Tahoma" w:hAnsi="Tahoma" w:cs="Tahoma"/>
          <w:b/>
          <w:bCs/>
          <w:szCs w:val="20"/>
          <w:lang w:val="en-US"/>
        </w:rPr>
        <w:t>SMS</w:t>
      </w:r>
      <w:r w:rsidRPr="00DF3046">
        <w:rPr>
          <w:rFonts w:ascii="Tahoma" w:hAnsi="Tahoma" w:cs="Tahoma"/>
          <w:b/>
          <w:bCs/>
          <w:szCs w:val="20"/>
        </w:rPr>
        <w:t xml:space="preserve"> для клиентов АО "</w:t>
      </w:r>
      <w:proofErr w:type="spellStart"/>
      <w:r w:rsidRPr="00DF3046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DF3046">
        <w:rPr>
          <w:rFonts w:ascii="Tahoma" w:hAnsi="Tahoma" w:cs="Tahoma"/>
          <w:b/>
          <w:bCs/>
          <w:szCs w:val="20"/>
        </w:rPr>
        <w:t xml:space="preserve"> Плюс" – абонентов Мегафон </w:t>
      </w:r>
    </w:p>
    <w:p w:rsidR="005D719A" w:rsidRPr="00DF3046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Москва</w:t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</w:t>
      </w:r>
      <w:proofErr w:type="gramStart"/>
      <w:r w:rsidRPr="004B5AB3">
        <w:rPr>
          <w:rFonts w:ascii="Tahoma" w:hAnsi="Tahoma" w:cs="Tahoma"/>
          <w:szCs w:val="20"/>
        </w:rPr>
        <w:t>_»_</w:t>
      </w:r>
      <w:proofErr w:type="gramEnd"/>
      <w:r w:rsidRPr="004B5AB3">
        <w:rPr>
          <w:rFonts w:ascii="Tahoma" w:hAnsi="Tahoma" w:cs="Tahoma"/>
          <w:szCs w:val="20"/>
        </w:rPr>
        <w:t>____________20__ г.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390CF5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 (АО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Плюс»)</w:t>
      </w:r>
      <w:bookmarkStart w:id="1" w:name="_GoBack"/>
      <w:bookmarkEnd w:id="1"/>
      <w:r w:rsidR="005D719A" w:rsidRPr="004B5AB3">
        <w:rPr>
          <w:rFonts w:ascii="Tahoma" w:hAnsi="Tahoma" w:cs="Tahoma"/>
          <w:b/>
          <w:bCs/>
          <w:szCs w:val="20"/>
        </w:rPr>
        <w:t>,</w:t>
      </w:r>
      <w:r w:rsidR="005D719A" w:rsidRPr="004B5AB3">
        <w:rPr>
          <w:rFonts w:ascii="Tahoma" w:hAnsi="Tahoma" w:cs="Tahoma"/>
          <w:szCs w:val="20"/>
        </w:rPr>
        <w:t xml:space="preserve"> именуемое в дальнейшем </w:t>
      </w:r>
      <w:r w:rsidR="005D719A" w:rsidRPr="004B5AB3">
        <w:rPr>
          <w:rFonts w:ascii="Tahoma" w:hAnsi="Tahoma" w:cs="Tahoma"/>
          <w:b/>
          <w:szCs w:val="20"/>
        </w:rPr>
        <w:t>«Заказчик»</w:t>
      </w:r>
      <w:r w:rsidR="005D719A" w:rsidRPr="004B5AB3">
        <w:rPr>
          <w:rFonts w:ascii="Tahoma" w:hAnsi="Tahoma" w:cs="Tahoma"/>
          <w:szCs w:val="20"/>
        </w:rPr>
        <w:t xml:space="preserve">, в лице </w:t>
      </w:r>
      <w:r w:rsidR="005D719A" w:rsidRPr="006833BC">
        <w:rPr>
          <w:rFonts w:ascii="Tahoma" w:hAnsi="Tahoma" w:cs="Tahoma"/>
          <w:szCs w:val="20"/>
        </w:rPr>
        <w:t xml:space="preserve">в лице </w:t>
      </w:r>
      <w:r w:rsidR="005D719A" w:rsidRPr="006833BC">
        <w:rPr>
          <w:rFonts w:ascii="Tahoma" w:eastAsia="Times New Roman" w:hAnsi="Tahoma" w:cs="Tahoma"/>
          <w:szCs w:val="20"/>
        </w:rPr>
        <w:t xml:space="preserve">Директора по ИТ Азизова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Курбонали</w:t>
      </w:r>
      <w:proofErr w:type="spellEnd"/>
      <w:r w:rsidR="005D719A" w:rsidRPr="006833BC">
        <w:rPr>
          <w:rFonts w:ascii="Tahoma" w:eastAsia="Times New Roman" w:hAnsi="Tahoma" w:cs="Tahoma"/>
          <w:szCs w:val="20"/>
        </w:rPr>
        <w:t xml:space="preserve">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5D719A" w:rsidRPr="004B5AB3">
        <w:rPr>
          <w:rFonts w:ascii="Tahoma" w:hAnsi="Tahoma" w:cs="Tahoma"/>
          <w:szCs w:val="20"/>
        </w:rPr>
        <w:t xml:space="preserve">,  действующего на основании доверенности  </w:t>
      </w:r>
      <w:r w:rsidR="005D719A" w:rsidRPr="006833BC">
        <w:rPr>
          <w:rFonts w:ascii="Tahoma" w:hAnsi="Tahoma" w:cs="Tahoma"/>
          <w:szCs w:val="20"/>
        </w:rPr>
        <w:t>б/н от 12.09.2022</w:t>
      </w:r>
      <w:r w:rsidR="005D719A">
        <w:rPr>
          <w:rFonts w:ascii="Tahoma" w:hAnsi="Tahoma" w:cs="Tahoma"/>
          <w:szCs w:val="20"/>
        </w:rPr>
        <w:t xml:space="preserve"> </w:t>
      </w:r>
      <w:r w:rsidR="005D719A" w:rsidRPr="004B5AB3">
        <w:rPr>
          <w:rFonts w:ascii="Tahoma" w:hAnsi="Tahoma" w:cs="Tahoma"/>
          <w:szCs w:val="20"/>
        </w:rPr>
        <w:t>г., с одной стороны, и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рассылке сообщений с целью взыскания просроченной дебитор</w:t>
      </w:r>
      <w:r w:rsidR="00DF3046">
        <w:rPr>
          <w:rFonts w:ascii="Tahoma" w:hAnsi="Tahoma" w:cs="Tahoma"/>
          <w:szCs w:val="20"/>
        </w:rPr>
        <w:t xml:space="preserve">ской задолженности через канал </w:t>
      </w:r>
      <w:r w:rsidR="00DF3046">
        <w:rPr>
          <w:rFonts w:ascii="Tahoma" w:hAnsi="Tahoma" w:cs="Tahoma"/>
          <w:szCs w:val="20"/>
          <w:lang w:val="en-US"/>
        </w:rPr>
        <w:t>SMS</w:t>
      </w:r>
      <w:r>
        <w:rPr>
          <w:rFonts w:ascii="Tahoma" w:hAnsi="Tahoma" w:cs="Tahoma"/>
          <w:szCs w:val="20"/>
        </w:rPr>
        <w:t xml:space="preserve"> для клиентов 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 </w:t>
      </w:r>
      <w:r w:rsidR="00DF3046" w:rsidRPr="00DF3046">
        <w:rPr>
          <w:rFonts w:ascii="Tahoma" w:hAnsi="Tahoma" w:cs="Tahoma"/>
          <w:szCs w:val="20"/>
        </w:rPr>
        <w:t xml:space="preserve">- </w:t>
      </w:r>
      <w:r w:rsidR="00DF3046">
        <w:rPr>
          <w:rFonts w:ascii="Tahoma" w:hAnsi="Tahoma" w:cs="Tahoma"/>
          <w:szCs w:val="20"/>
        </w:rPr>
        <w:t xml:space="preserve">абонентов </w:t>
      </w:r>
      <w:r w:rsidR="00DF3046" w:rsidRPr="00DF3046">
        <w:rPr>
          <w:rFonts w:ascii="Tahoma" w:hAnsi="Tahoma" w:cs="Tahoma"/>
          <w:b/>
          <w:szCs w:val="20"/>
        </w:rPr>
        <w:t>Мегафон</w:t>
      </w:r>
      <w:r>
        <w:rPr>
          <w:rFonts w:ascii="Tahoma" w:hAnsi="Tahoma" w:cs="Tahoma"/>
          <w:szCs w:val="20"/>
        </w:rPr>
        <w:t>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EE0F3B">
        <w:rPr>
          <w:rFonts w:ascii="Tahoma" w:hAnsi="Tahoma" w:cs="Tahoma"/>
          <w:szCs w:val="20"/>
        </w:rPr>
        <w:t xml:space="preserve">в соответствии с </w:t>
      </w:r>
      <w:r>
        <w:rPr>
          <w:rFonts w:ascii="Tahoma" w:hAnsi="Tahoma" w:cs="Tahoma"/>
          <w:szCs w:val="20"/>
        </w:rPr>
        <w:t>Техническим з</w:t>
      </w:r>
      <w:r w:rsidRPr="00EE0F3B">
        <w:rPr>
          <w:rFonts w:ascii="Tahoma" w:hAnsi="Tahoma" w:cs="Tahoma"/>
          <w:szCs w:val="20"/>
        </w:rPr>
        <w:t xml:space="preserve">аданием Заказчика (далее – Задание, </w:t>
      </w:r>
      <w:r w:rsidRPr="00EE0F3B">
        <w:rPr>
          <w:rFonts w:ascii="Tahoma" w:hAnsi="Tahoma" w:cs="Tahoma"/>
          <w:szCs w:val="20"/>
        </w:rPr>
        <w:fldChar w:fldCharType="begin"/>
      </w:r>
      <w:r w:rsidRPr="00EE0F3B">
        <w:rPr>
          <w:rFonts w:ascii="Tahoma" w:hAnsi="Tahoma" w:cs="Tahoma"/>
          <w:szCs w:val="20"/>
        </w:rPr>
        <w:instrText xml:space="preserve"> REF _Ref328747268 \r \h  \* MERGEFORMAT </w:instrText>
      </w:r>
      <w:r w:rsidRPr="00EE0F3B">
        <w:rPr>
          <w:rFonts w:ascii="Tahoma" w:hAnsi="Tahoma" w:cs="Tahoma"/>
          <w:szCs w:val="20"/>
        </w:rPr>
      </w:r>
      <w:r w:rsidRPr="00EE0F3B">
        <w:rPr>
          <w:rFonts w:ascii="Tahoma" w:hAnsi="Tahoma" w:cs="Tahoma"/>
          <w:szCs w:val="20"/>
        </w:rPr>
        <w:fldChar w:fldCharType="separate"/>
      </w:r>
      <w:r w:rsidRPr="00EE0F3B">
        <w:rPr>
          <w:rFonts w:ascii="Tahoma" w:hAnsi="Tahoma" w:cs="Tahoma"/>
          <w:szCs w:val="20"/>
        </w:rPr>
        <w:t xml:space="preserve">Приложение </w:t>
      </w:r>
      <w:r w:rsidRPr="00EE0F3B">
        <w:rPr>
          <w:rFonts w:ascii="Tahoma" w:hAnsi="Tahoma" w:cs="Tahoma"/>
          <w:szCs w:val="20"/>
        </w:rPr>
        <w:fldChar w:fldCharType="end"/>
      </w:r>
      <w:r w:rsidRPr="00EE0F3B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№1 к Договору) </w:t>
      </w:r>
      <w:r w:rsidRPr="004B5AB3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CF5703" w:rsidRDefault="00CF5703" w:rsidP="00CF5703">
      <w:pPr>
        <w:numPr>
          <w:ilvl w:val="1"/>
          <w:numId w:val="1"/>
        </w:numPr>
        <w:tabs>
          <w:tab w:val="left" w:pos="567"/>
          <w:tab w:val="left" w:pos="709"/>
          <w:tab w:val="left" w:pos="1866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CF5703" w:rsidRDefault="00CF5703" w:rsidP="00CF5703">
      <w:pPr>
        <w:pStyle w:val="af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направления.</w:t>
      </w: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>
        <w:rPr>
          <w:rFonts w:ascii="Tahoma" w:hAnsi="Tahoma" w:cs="Tahoma"/>
          <w:b/>
          <w:szCs w:val="20"/>
        </w:rPr>
        <w:t xml:space="preserve">. </w:t>
      </w:r>
      <w:r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</w:t>
      </w:r>
      <w:r w:rsidRPr="004B5AB3">
        <w:rPr>
          <w:rFonts w:ascii="Tahoma" w:hAnsi="Tahoma" w:cs="Tahoma"/>
          <w:szCs w:val="20"/>
        </w:rPr>
        <w:t>.</w:t>
      </w:r>
      <w:bookmarkEnd w:id="2"/>
      <w:r w:rsidRPr="004B5AB3">
        <w:rPr>
          <w:rFonts w:ascii="Tahoma" w:hAnsi="Tahoma" w:cs="Tahoma"/>
          <w:szCs w:val="20"/>
        </w:rPr>
        <w:t xml:space="preserve">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2A19FC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719A" w:rsidRPr="002A19FC" w:rsidRDefault="005D719A" w:rsidP="005D719A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A19FC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647089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с отсрочкой не менее 60 и не более 90 календарных дней с даты подписания акта сдачи приемки выполненных работ (оказание услуг):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или УПД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662058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</w:t>
      </w:r>
      <w:r w:rsidRPr="00662058">
        <w:rPr>
          <w:rFonts w:ascii="Tahoma" w:eastAsia="Times New Roman" w:hAnsi="Tahoma" w:cs="Tahoma"/>
          <w:szCs w:val="20"/>
        </w:rPr>
        <w:t>противоречащими законодательству РФ, в том числе путем передачи векселей и пр.</w:t>
      </w:r>
    </w:p>
    <w:p w:rsidR="005D719A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5D719A" w:rsidRPr="00135186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на основании выставленного Исполнителем счета, путем перечисления денежных средств на расчетный счет Исполнителя или иными </w:t>
      </w:r>
      <w:r w:rsidRPr="00214560">
        <w:rPr>
          <w:rFonts w:ascii="Tahoma" w:hAnsi="Tahoma" w:cs="Tahoma"/>
          <w:color w:val="000000" w:themeColor="text1"/>
        </w:rPr>
        <w:lastRenderedPageBreak/>
        <w:t>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9D6B68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E64A1F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E64A1F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5D719A" w:rsidRPr="004B5AB3" w:rsidRDefault="005D719A" w:rsidP="005D719A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 даты заключения договора до 31.12.2025г.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proofErr w:type="gramStart"/>
      <w:r w:rsidRPr="004B5AB3">
        <w:rPr>
          <w:rFonts w:ascii="Tahoma" w:hAnsi="Tahoma" w:cs="Tahoma"/>
          <w:szCs w:val="20"/>
        </w:rPr>
        <w:t>со сроками</w:t>
      </w:r>
      <w:proofErr w:type="gramEnd"/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4B5AB3" w:rsidRDefault="005D719A" w:rsidP="005D719A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4B5AB3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4219A8" w:rsidRDefault="004219A8" w:rsidP="004219A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4219A8" w:rsidRDefault="004219A8" w:rsidP="004219A8">
      <w:pPr>
        <w:pStyle w:val="af"/>
        <w:numPr>
          <w:ilvl w:val="2"/>
          <w:numId w:val="1"/>
        </w:numPr>
        <w:tabs>
          <w:tab w:val="num" w:pos="0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</w:t>
      </w:r>
      <w:r>
        <w:rPr>
          <w:rFonts w:ascii="Tahoma" w:eastAsia="Times New Roman" w:hAnsi="Tahoma" w:cs="Tahoma"/>
          <w:szCs w:val="20"/>
        </w:rPr>
        <w:t>заверяет и гарантирует что:</w:t>
      </w:r>
    </w:p>
    <w:p w:rsidR="004219A8" w:rsidRDefault="004219A8" w:rsidP="004219A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4219A8" w:rsidRDefault="004219A8" w:rsidP="004219A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4219A8" w:rsidRDefault="004219A8" w:rsidP="004219A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4219A8" w:rsidRDefault="004219A8" w:rsidP="004219A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4219A8" w:rsidRDefault="004219A8" w:rsidP="004219A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оказанных Услуг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Исполнитель передает Заказчику до начала приемки результата оказанных Услуг два экземпляра акта оказанных Услуг.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4219A8" w:rsidRPr="004219A8" w:rsidRDefault="004219A8" w:rsidP="004219A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proofErr w:type="gramStart"/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возмещения  Заказчику</w:t>
      </w:r>
      <w:proofErr w:type="gramEnd"/>
      <w:r w:rsidRPr="004219A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proofErr w:type="gramStart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 результатов</w:t>
      </w:r>
      <w:proofErr w:type="gramEnd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потребовать от Исполнителя безвозмездного устранения недостатков;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F0440A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F0440A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</w:t>
      </w:r>
      <w:r>
        <w:rPr>
          <w:rFonts w:ascii="Tahoma" w:hAnsi="Tahoma" w:cs="Tahoma"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после установленного срока Исполнитель уплачивает пеню в размере 0,2 % (двух десятых процента) от </w:t>
      </w:r>
      <w:r>
        <w:rPr>
          <w:rFonts w:ascii="Tahoma" w:hAnsi="Tahoma" w:cs="Tahoma"/>
          <w:szCs w:val="20"/>
        </w:rPr>
        <w:t>Цены Услуг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5D719A" w:rsidRPr="00421E40" w:rsidRDefault="005D719A" w:rsidP="005D719A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2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</w:t>
      </w:r>
      <w:r w:rsidRPr="004B5AB3">
        <w:rPr>
          <w:rFonts w:ascii="Tahoma" w:hAnsi="Tahoma" w:cs="Tahoma"/>
          <w:szCs w:val="20"/>
        </w:rPr>
        <w:lastRenderedPageBreak/>
        <w:t>с момента получения письменного требования Заказчика.</w:t>
      </w:r>
      <w:bookmarkEnd w:id="4"/>
    </w:p>
    <w:p w:rsidR="005D719A" w:rsidRPr="004B5AB3" w:rsidRDefault="005D719A" w:rsidP="005D719A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4B5AB3">
        <w:rPr>
          <w:rFonts w:ascii="Tahoma" w:hAnsi="Tahoma" w:cs="Tahoma"/>
          <w:szCs w:val="20"/>
        </w:rPr>
        <w:t xml:space="preserve"> </w:t>
      </w:r>
      <w:bookmarkEnd w:id="6"/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D23C96" w:rsidRDefault="005D719A" w:rsidP="005D719A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923A95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291DF8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719A" w:rsidRPr="00291DF8" w:rsidRDefault="005D719A" w:rsidP="005D719A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proofErr w:type="gramStart"/>
      <w:r w:rsidRPr="00291DF8">
        <w:rPr>
          <w:rFonts w:ascii="Tahoma" w:eastAsiaTheme="minorEastAsia" w:hAnsi="Tahoma" w:cs="Tahoma"/>
          <w:color w:val="auto"/>
          <w:sz w:val="20"/>
          <w:szCs w:val="20"/>
        </w:rPr>
        <w:t>неосуществление  Заказчиком</w:t>
      </w:r>
      <w:proofErr w:type="gramEnd"/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</w:t>
      </w:r>
      <w:r w:rsidRPr="004B5AB3">
        <w:rPr>
          <w:rFonts w:ascii="Tahoma" w:eastAsiaTheme="majorEastAsia" w:hAnsi="Tahoma" w:cs="Tahoma"/>
          <w:bCs/>
          <w:szCs w:val="20"/>
        </w:rPr>
        <w:lastRenderedPageBreak/>
        <w:t>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E64A1F" w:rsidRDefault="005D719A" w:rsidP="005D719A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5D719A" w:rsidRPr="004B5AB3" w:rsidRDefault="005D719A" w:rsidP="005D719A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proofErr w:type="gramStart"/>
      <w:r w:rsidRPr="004B5AB3">
        <w:rPr>
          <w:i w:val="0"/>
        </w:rPr>
        <w:t>письма и иные документы</w:t>
      </w:r>
      <w:proofErr w:type="gramEnd"/>
      <w:r w:rsidRPr="004B5AB3">
        <w:rPr>
          <w:i w:val="0"/>
        </w:rPr>
        <w:t xml:space="preserve">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E64A1F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4B5AB3" w:rsidRDefault="005D719A" w:rsidP="005D719A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Услуги, фактически оказанные </w:t>
      </w:r>
      <w:proofErr w:type="gramStart"/>
      <w:r w:rsidRPr="004B5AB3">
        <w:rPr>
          <w:i w:val="0"/>
        </w:rPr>
        <w:t>Исполнителем  на</w:t>
      </w:r>
      <w:proofErr w:type="gramEnd"/>
      <w:r w:rsidRPr="004B5AB3">
        <w:rPr>
          <w:i w:val="0"/>
        </w:rPr>
        <w:t xml:space="preserve">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proofErr w:type="gramStart"/>
      <w:r w:rsidRPr="004B5AB3">
        <w:rPr>
          <w:i w:val="0"/>
        </w:rPr>
        <w:t>f)в</w:t>
      </w:r>
      <w:proofErr w:type="gramEnd"/>
      <w:r w:rsidRPr="004B5AB3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Заказчик вправе потребовать, а Исполнитель  обязан возместить Заказчику убытки, в том числе упущенную выгоду.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5D719A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5D719A" w:rsidRPr="00E64A1F" w:rsidRDefault="005D719A" w:rsidP="005D719A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8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Default="003311A9" w:rsidP="003311A9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9" w:name="_Ref328406247"/>
      <w:r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>
        <w:rPr>
          <w:rFonts w:ascii="Tahoma" w:hAnsi="Tahoma" w:cs="Tahoma"/>
          <w:color w:val="000000" w:themeColor="text1"/>
        </w:rPr>
        <w:t xml:space="preserve">, </w:t>
      </w:r>
      <w:r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3311A9" w:rsidRDefault="003311A9" w:rsidP="003311A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АО «</w:t>
      </w:r>
      <w:proofErr w:type="spellStart"/>
      <w:r>
        <w:rPr>
          <w:rFonts w:ascii="Tahoma" w:hAnsi="Tahoma" w:cs="Tahoma"/>
          <w:color w:val="000000"/>
          <w:szCs w:val="20"/>
        </w:rPr>
        <w:t>ЭнергосбыТ</w:t>
      </w:r>
      <w:proofErr w:type="spellEnd"/>
      <w:r>
        <w:rPr>
          <w:rFonts w:ascii="Tahoma" w:hAnsi="Tahoma" w:cs="Tahoma"/>
          <w:color w:val="000000"/>
          <w:szCs w:val="20"/>
        </w:rPr>
        <w:t xml:space="preserve"> Плюс»</w:t>
      </w:r>
    </w:p>
    <w:p w:rsidR="003311A9" w:rsidRDefault="003311A9" w:rsidP="003311A9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>
        <w:rPr>
          <w:rFonts w:ascii="Tahoma" w:hAnsi="Tahoma" w:cs="Tahoma"/>
          <w:szCs w:val="20"/>
        </w:rPr>
        <w:t>г.о</w:t>
      </w:r>
      <w:proofErr w:type="spellEnd"/>
      <w:r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>
        <w:rPr>
          <w:rFonts w:ascii="Tahoma" w:hAnsi="Tahoma" w:cs="Tahoma"/>
          <w:szCs w:val="20"/>
        </w:rPr>
        <w:t>стр</w:t>
      </w:r>
      <w:proofErr w:type="spellEnd"/>
      <w:r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7" w:history="1">
        <w:r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Fonts w:ascii="Tahoma" w:hAnsi="Tahoma" w:cs="Tahoma"/>
          <w:color w:val="0000FF"/>
          <w:szCs w:val="20"/>
          <w:u w:val="single"/>
        </w:rPr>
        <w:t xml:space="preserve"> </w:t>
      </w:r>
      <w:r>
        <w:rPr>
          <w:rFonts w:ascii="Tahoma" w:hAnsi="Tahoma" w:cs="Tahoma"/>
          <w:szCs w:val="20"/>
        </w:rPr>
        <w:t>Тел.: +7 985 704 52 84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Ассонов Максим Валерьевич </w:t>
      </w:r>
      <w:hyperlink r:id="rId8" w:history="1">
        <w:r>
          <w:rPr>
            <w:rStyle w:val="a7"/>
            <w:rFonts w:ascii="Tahoma" w:hAnsi="Tahoma" w:cs="Tahoma"/>
          </w:rPr>
          <w:t>Maksim.Assonov@esplus.ru</w:t>
        </w:r>
      </w:hyperlink>
      <w:r>
        <w:rPr>
          <w:rFonts w:ascii="Tahoma" w:hAnsi="Tahoma" w:cs="Tahoma"/>
        </w:rPr>
        <w:t xml:space="preserve">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83155A">
        <w:rPr>
          <w:rFonts w:ascii="Tahoma" w:hAnsi="Tahoma" w:cs="Tahoma"/>
        </w:rPr>
        <w:t xml:space="preserve">от Исполнителя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</w:p>
    <w:p w:rsidR="005D719A" w:rsidRPr="004B5AB3" w:rsidRDefault="005D719A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вправе: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</w:p>
    <w:p w:rsidR="005D719A" w:rsidRPr="00747DB7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</w:t>
      </w:r>
      <w:r w:rsidRPr="007D711D">
        <w:rPr>
          <w:i w:val="0"/>
        </w:rPr>
        <w:lastRenderedPageBreak/>
        <w:t>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Default="003311A9" w:rsidP="003311A9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12.12.1. Заказчику: </w:t>
      </w:r>
      <w:r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>
        <w:rPr>
          <w:rFonts w:ascii="Tahoma" w:hAnsi="Tahoma" w:cs="Tahoma"/>
          <w:color w:val="000000"/>
          <w:szCs w:val="20"/>
        </w:rPr>
        <w:t>АО «</w:t>
      </w:r>
      <w:proofErr w:type="spellStart"/>
      <w:r>
        <w:rPr>
          <w:rFonts w:ascii="Tahoma" w:hAnsi="Tahoma" w:cs="Tahoma"/>
          <w:color w:val="000000"/>
          <w:szCs w:val="20"/>
        </w:rPr>
        <w:t>ЭнергосбыТ</w:t>
      </w:r>
      <w:proofErr w:type="spellEnd"/>
      <w:r>
        <w:rPr>
          <w:rFonts w:ascii="Tahoma" w:hAnsi="Tahoma" w:cs="Tahoma"/>
          <w:color w:val="000000"/>
          <w:szCs w:val="20"/>
        </w:rPr>
        <w:t xml:space="preserve"> Плюс»</w:t>
      </w:r>
    </w:p>
    <w:p w:rsidR="003311A9" w:rsidRPr="0083155A" w:rsidRDefault="003311A9" w:rsidP="003311A9">
      <w:pPr>
        <w:tabs>
          <w:tab w:val="left" w:pos="0"/>
        </w:tabs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83155A">
        <w:rPr>
          <w:rFonts w:ascii="Tahoma" w:hAnsi="Tahoma" w:cs="Tahoma"/>
          <w:szCs w:val="20"/>
        </w:rPr>
        <w:t>г.о</w:t>
      </w:r>
      <w:proofErr w:type="spellEnd"/>
      <w:r w:rsidRPr="0083155A">
        <w:rPr>
          <w:rFonts w:ascii="Tahoma" w:hAnsi="Tahoma" w:cs="Tahoma"/>
          <w:szCs w:val="20"/>
        </w:rPr>
        <w:t xml:space="preserve">. Красногорск, автодорога Балтия тер., 26-й </w:t>
      </w:r>
      <w:proofErr w:type="gramStart"/>
      <w:r w:rsidRPr="0083155A">
        <w:rPr>
          <w:rFonts w:ascii="Tahoma" w:hAnsi="Tahoma" w:cs="Tahoma"/>
          <w:szCs w:val="20"/>
        </w:rPr>
        <w:t>км ,</w:t>
      </w:r>
      <w:proofErr w:type="gramEnd"/>
      <w:r w:rsidRPr="0083155A">
        <w:rPr>
          <w:rFonts w:ascii="Tahoma" w:hAnsi="Tahoma" w:cs="Tahoma"/>
          <w:szCs w:val="20"/>
        </w:rPr>
        <w:t xml:space="preserve"> д 5, </w:t>
      </w:r>
      <w:proofErr w:type="spellStart"/>
      <w:r w:rsidRPr="0083155A">
        <w:rPr>
          <w:rFonts w:ascii="Tahoma" w:hAnsi="Tahoma" w:cs="Tahoma"/>
          <w:szCs w:val="20"/>
        </w:rPr>
        <w:t>стр</w:t>
      </w:r>
      <w:proofErr w:type="spellEnd"/>
      <w:r w:rsidRPr="0083155A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12.12.2. Исполнителю: </w:t>
      </w:r>
      <w:r w:rsidRPr="0083155A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83155A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Заказчика:</w:t>
      </w:r>
      <w:r w:rsidRPr="0083155A">
        <w:rPr>
          <w:rFonts w:ascii="Tahoma" w:hAnsi="Tahoma" w:cs="Tahoma"/>
          <w:spacing w:val="-3"/>
          <w:szCs w:val="20"/>
        </w:rPr>
        <w:t xml:space="preserve">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hyperlink r:id="rId9" w:history="1">
        <w:r w:rsidRPr="0083155A"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Style w:val="a7"/>
          <w:rFonts w:ascii="Tahoma" w:hAnsi="Tahoma" w:cs="Tahoma"/>
          <w:szCs w:val="20"/>
        </w:rPr>
        <w:t xml:space="preserve">, </w:t>
      </w:r>
      <w:r w:rsidRPr="003311A9">
        <w:rPr>
          <w:rStyle w:val="a7"/>
          <w:rFonts w:ascii="Tahoma" w:hAnsi="Tahoma" w:cs="Tahoma"/>
          <w:szCs w:val="20"/>
        </w:rPr>
        <w:t>Anna.V.Abramova@esplus.ru</w:t>
      </w:r>
      <w:r w:rsidRPr="0083155A">
        <w:rPr>
          <w:rFonts w:ascii="Tahoma" w:hAnsi="Tahoma" w:cs="Tahoma"/>
          <w:szCs w:val="20"/>
        </w:rPr>
        <w:t>;</w:t>
      </w:r>
    </w:p>
    <w:p w:rsidR="003311A9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Исполнителя: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/>
          <w:spacing w:val="-3"/>
          <w:szCs w:val="20"/>
          <w:u w:val="single"/>
        </w:rPr>
        <w:t xml:space="preserve"> </w:t>
      </w:r>
    </w:p>
    <w:p w:rsidR="005D719A" w:rsidRPr="004B5AB3" w:rsidRDefault="005D719A" w:rsidP="005D71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F84ED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</w:t>
      </w:r>
      <w:r w:rsidRPr="009B4CA3">
        <w:rPr>
          <w:rFonts w:ascii="Tahoma" w:hAnsi="Tahoma" w:cs="Tahoma"/>
          <w:szCs w:val="20"/>
        </w:rPr>
        <w:lastRenderedPageBreak/>
        <w:t>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9F4A80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Default="005D719A" w:rsidP="005D719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Pr="003A4D71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proofErr w:type="gramStart"/>
      <w:r w:rsidRPr="009653DA">
        <w:rPr>
          <w:rFonts w:ascii="Tahoma" w:eastAsia="Times New Roman" w:hAnsi="Tahoma" w:cs="Tahoma"/>
          <w:szCs w:val="20"/>
        </w:rPr>
        <w:t>документов  или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proofErr w:type="gramStart"/>
      <w:r w:rsidRPr="009653DA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</w:t>
      </w:r>
      <w:r w:rsidRPr="009653DA">
        <w:rPr>
          <w:rFonts w:ascii="Tahoma" w:eastAsia="Times New Roman" w:hAnsi="Tahoma" w:cs="Tahoma"/>
          <w:szCs w:val="20"/>
        </w:rPr>
        <w:lastRenderedPageBreak/>
        <w:t>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9653DA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9653DA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proofErr w:type="gramStart"/>
      <w:r w:rsidRPr="009653DA">
        <w:rPr>
          <w:rFonts w:ascii="Tahoma" w:eastAsia="Times New Roman" w:hAnsi="Tahoma" w:cs="Tahoma"/>
          <w:szCs w:val="20"/>
        </w:rPr>
        <w:t>размере  500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9653DA">
        <w:rPr>
          <w:rFonts w:ascii="Tahoma" w:eastAsia="Times New Roman" w:hAnsi="Tahoma" w:cs="Tahoma"/>
          <w:szCs w:val="20"/>
        </w:rPr>
        <w:t>течение  3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4B5AB3" w:rsidRDefault="005D719A" w:rsidP="005D719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proofErr w:type="gramStart"/>
      <w:r w:rsidRPr="004B5AB3">
        <w:rPr>
          <w:rFonts w:ascii="Tahoma" w:hAnsi="Tahoma" w:cs="Tahoma"/>
          <w:szCs w:val="20"/>
        </w:rPr>
        <w:t>Исполнитель  несет</w:t>
      </w:r>
      <w:proofErr w:type="gramEnd"/>
      <w:r w:rsidRPr="004B5AB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F04365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</w:t>
      </w:r>
      <w:r w:rsidRPr="00F04365">
        <w:rPr>
          <w:rFonts w:ascii="Tahoma" w:hAnsi="Tahoma" w:cs="Tahoma"/>
          <w:szCs w:val="20"/>
        </w:rPr>
        <w:lastRenderedPageBreak/>
        <w:t xml:space="preserve">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F04365">
        <w:rPr>
          <w:rFonts w:ascii="Tahoma" w:hAnsi="Tahoma" w:cs="Tahoma"/>
          <w:szCs w:val="20"/>
        </w:rPr>
        <w:t>pdf</w:t>
      </w:r>
      <w:proofErr w:type="spellEnd"/>
      <w:r w:rsidRPr="00F04365">
        <w:rPr>
          <w:rFonts w:ascii="Tahoma" w:hAnsi="Tahoma" w:cs="Tahoma"/>
          <w:szCs w:val="20"/>
        </w:rPr>
        <w:t xml:space="preserve"> (</w:t>
      </w:r>
      <w:proofErr w:type="spellStart"/>
      <w:r w:rsidRPr="00F04365">
        <w:rPr>
          <w:rFonts w:ascii="Tahoma" w:hAnsi="Tahoma" w:cs="Tahoma"/>
          <w:szCs w:val="20"/>
        </w:rPr>
        <w:t>Portable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Document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Format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doc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Word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xls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Excel</w:t>
      </w:r>
      <w:proofErr w:type="spellEnd"/>
      <w:r w:rsidRPr="00F0436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>
        <w:rPr>
          <w:rFonts w:ascii="Tahoma" w:hAnsi="Tahoma" w:cs="Tahoma"/>
          <w:szCs w:val="20"/>
        </w:rPr>
        <w:t>6.-</w:t>
      </w:r>
      <w:proofErr w:type="gramEnd"/>
      <w:r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F04365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4B5AB3" w:rsidRDefault="005D719A" w:rsidP="005D7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5D719A" w:rsidRPr="004B5AB3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 на оказываемые услуги</w:t>
      </w:r>
      <w:r w:rsidRPr="004B5AB3">
        <w:rPr>
          <w:rFonts w:ascii="Tahoma" w:hAnsi="Tahoma" w:cs="Tahoma"/>
          <w:szCs w:val="20"/>
        </w:rPr>
        <w:t xml:space="preserve"> </w:t>
      </w:r>
    </w:p>
    <w:p w:rsidR="005D719A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121DBF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719A" w:rsidRPr="004B5AB3" w:rsidRDefault="005D719A" w:rsidP="005D719A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4B5AB3" w:rsidRDefault="005D719A" w:rsidP="005D719A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121DBF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lastRenderedPageBreak/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5612042824, КПП 997650001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 АО «</w:t>
            </w:r>
            <w:proofErr w:type="spellStart"/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Почтовый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адрес: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610046, г. Киров, ул.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Преображенская, 90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434543001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40702810827000002345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Отделение № 8612 ПАО «Сбербанк России» г. Кирова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30101810500000000609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043304609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Азизов К.Р.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4B5AB3" w:rsidRDefault="005D719A" w:rsidP="005D71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Default="00891C4B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 w:rsidP="00CA22EE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№1</w:t>
      </w:r>
    </w:p>
    <w:p w:rsidR="00CA22EE" w:rsidRDefault="00CA22EE" w:rsidP="00CA22EE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CA22EE" w:rsidRPr="009B0C3D" w:rsidRDefault="00CA22EE" w:rsidP="00CA22EE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9B0C3D" w:rsidRPr="009B0C3D" w:rsidRDefault="009B0C3D" w:rsidP="009B0C3D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9B0C3D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:rsidR="009B0C3D" w:rsidRPr="009B0C3D" w:rsidRDefault="009B0C3D" w:rsidP="009B0C3D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9B0C3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9B0C3D">
        <w:rPr>
          <w:rFonts w:ascii="Tahoma" w:hAnsi="Tahoma" w:cs="Tahoma"/>
          <w:b/>
          <w:bCs/>
          <w:szCs w:val="20"/>
          <w:lang w:val="en-US"/>
        </w:rPr>
        <w:t>SMS</w:t>
      </w:r>
      <w:r w:rsidRPr="009B0C3D">
        <w:rPr>
          <w:rFonts w:ascii="Tahoma" w:hAnsi="Tahoma" w:cs="Tahoma"/>
          <w:b/>
          <w:bCs/>
          <w:szCs w:val="20"/>
        </w:rPr>
        <w:t xml:space="preserve"> для клиентов АО "</w:t>
      </w:r>
      <w:proofErr w:type="spellStart"/>
      <w:r w:rsidRPr="009B0C3D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9B0C3D">
        <w:rPr>
          <w:rFonts w:ascii="Tahoma" w:hAnsi="Tahoma" w:cs="Tahoma"/>
          <w:b/>
          <w:bCs/>
          <w:szCs w:val="20"/>
        </w:rPr>
        <w:t xml:space="preserve"> Плюс" – абонентов Мегафон </w:t>
      </w:r>
    </w:p>
    <w:p w:rsidR="009B0C3D" w:rsidRPr="009B0C3D" w:rsidRDefault="009B0C3D" w:rsidP="009B0C3D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:rsidR="009B0C3D" w:rsidRPr="009B0C3D" w:rsidRDefault="009B0C3D" w:rsidP="009B0C3D">
      <w:pPr>
        <w:pStyle w:val="1"/>
        <w:numPr>
          <w:ilvl w:val="0"/>
          <w:numId w:val="19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9B0C3D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:rsidR="009B0C3D" w:rsidRPr="009B0C3D" w:rsidRDefault="009B0C3D" w:rsidP="009B0C3D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Требуется оказать услуги по рассылке сообщений с целью взыскания просроченной дебиторской задолженности через канал SMS в адрес клиентов АО "</w:t>
      </w:r>
      <w:proofErr w:type="spellStart"/>
      <w:r w:rsidRPr="009B0C3D">
        <w:rPr>
          <w:rFonts w:ascii="Tahoma" w:hAnsi="Tahoma" w:cs="Tahoma"/>
          <w:szCs w:val="20"/>
        </w:rPr>
        <w:t>ЭнергосбыТ</w:t>
      </w:r>
      <w:proofErr w:type="spellEnd"/>
      <w:r w:rsidRPr="009B0C3D">
        <w:rPr>
          <w:rFonts w:ascii="Tahoma" w:hAnsi="Tahoma" w:cs="Tahoma"/>
          <w:szCs w:val="20"/>
        </w:rPr>
        <w:t xml:space="preserve"> Плюс" (по России), являющихся абонентами Мегафон,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:rsidR="009B0C3D" w:rsidRPr="009B0C3D" w:rsidRDefault="009B0C3D" w:rsidP="009B0C3D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B0C3D">
        <w:rPr>
          <w:rFonts w:ascii="Tahoma" w:hAnsi="Tahoma" w:cs="Tahoma"/>
          <w:szCs w:val="20"/>
        </w:rPr>
        <w:t>т.ч</w:t>
      </w:r>
      <w:proofErr w:type="spellEnd"/>
      <w:r w:rsidRPr="009B0C3D">
        <w:rPr>
          <w:rFonts w:ascii="Tahoma" w:hAnsi="Tahoma" w:cs="Tahoma"/>
          <w:szCs w:val="20"/>
        </w:rPr>
        <w:t xml:space="preserve">. через API. </w:t>
      </w:r>
    </w:p>
    <w:p w:rsidR="009B0C3D" w:rsidRPr="009B0C3D" w:rsidRDefault="009B0C3D" w:rsidP="009B0C3D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B0C3D">
        <w:rPr>
          <w:rFonts w:ascii="Tahoma" w:hAnsi="Tahoma" w:cs="Tahoma"/>
          <w:szCs w:val="20"/>
        </w:rPr>
        <w:t>Мск</w:t>
      </w:r>
      <w:proofErr w:type="spellEnd"/>
      <w:r w:rsidRPr="009B0C3D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:rsidR="009B0C3D" w:rsidRPr="009B0C3D" w:rsidRDefault="009B0C3D" w:rsidP="009B0C3D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Сроки действия договора: </w:t>
      </w:r>
      <w:r w:rsidRPr="009B0C3D">
        <w:rPr>
          <w:rFonts w:ascii="Tahoma" w:eastAsia="Times New Roman" w:hAnsi="Tahoma" w:cs="Tahoma"/>
          <w:szCs w:val="20"/>
        </w:rPr>
        <w:t>с даты заключения Договора до 31.12.2025</w:t>
      </w:r>
      <w:r w:rsidRPr="009B0C3D">
        <w:rPr>
          <w:rFonts w:ascii="Tahoma" w:hAnsi="Tahoma" w:cs="Tahoma"/>
          <w:szCs w:val="20"/>
        </w:rPr>
        <w:t xml:space="preserve">. </w:t>
      </w:r>
    </w:p>
    <w:p w:rsidR="009B0C3D" w:rsidRPr="009B0C3D" w:rsidRDefault="009B0C3D" w:rsidP="009B0C3D">
      <w:pPr>
        <w:spacing w:after="0" w:line="240" w:lineRule="auto"/>
        <w:rPr>
          <w:rFonts w:ascii="Tahoma" w:hAnsi="Tahoma" w:cs="Tahoma"/>
          <w:szCs w:val="20"/>
        </w:rPr>
      </w:pPr>
    </w:p>
    <w:p w:rsidR="009B0C3D" w:rsidRPr="009B0C3D" w:rsidRDefault="009B0C3D" w:rsidP="009B0C3D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9B0C3D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9B0C3D">
        <w:rPr>
          <w:rFonts w:ascii="Tahoma" w:hAnsi="Tahoma" w:cs="Tahoma"/>
          <w:b/>
          <w:szCs w:val="20"/>
        </w:rPr>
        <w:t xml:space="preserve"> </w:t>
      </w:r>
    </w:p>
    <w:p w:rsidR="009B0C3D" w:rsidRPr="009B0C3D" w:rsidRDefault="009B0C3D" w:rsidP="009B0C3D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9B0C3D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9B0C3D">
        <w:rPr>
          <w:rFonts w:ascii="Tahoma" w:hAnsi="Tahoma" w:cs="Tahoma"/>
          <w:szCs w:val="20"/>
        </w:rPr>
        <w:t>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:rsidR="009B0C3D" w:rsidRPr="009B0C3D" w:rsidRDefault="009B0C3D" w:rsidP="009B0C3D">
      <w:pPr>
        <w:tabs>
          <w:tab w:val="left" w:pos="567"/>
          <w:tab w:val="center" w:pos="2897"/>
          <w:tab w:val="center" w:pos="9352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9B0C3D">
        <w:rPr>
          <w:rFonts w:ascii="Tahoma" w:hAnsi="Tahoma" w:cs="Tahoma"/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9B0C3D">
        <w:rPr>
          <w:rFonts w:ascii="Tahoma" w:eastAsia="Times New Roman" w:hAnsi="Tahoma" w:cs="Tahoma"/>
          <w:szCs w:val="20"/>
        </w:rPr>
        <w:t xml:space="preserve"> </w:t>
      </w:r>
    </w:p>
    <w:p w:rsidR="009B0C3D" w:rsidRPr="009B0C3D" w:rsidRDefault="009B0C3D" w:rsidP="009B0C3D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API функции должны позволять: </w:t>
      </w:r>
    </w:p>
    <w:p w:rsidR="009B0C3D" w:rsidRPr="009B0C3D" w:rsidRDefault="009B0C3D" w:rsidP="009B0C3D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:rsidR="009B0C3D" w:rsidRPr="009B0C3D" w:rsidRDefault="009B0C3D" w:rsidP="009B0C3D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9B0C3D" w:rsidRPr="009B0C3D" w:rsidRDefault="009B0C3D" w:rsidP="009B0C3D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9B0C3D">
        <w:rPr>
          <w:rFonts w:ascii="Tahoma" w:hAnsi="Tahoma" w:cs="Tahoma"/>
          <w:szCs w:val="20"/>
        </w:rPr>
        <w:t>многопотоковой</w:t>
      </w:r>
      <w:proofErr w:type="spellEnd"/>
      <w:r w:rsidRPr="009B0C3D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:rsidR="009B0C3D" w:rsidRPr="009B0C3D" w:rsidRDefault="009B0C3D" w:rsidP="009B0C3D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9B0C3D">
        <w:rPr>
          <w:rFonts w:ascii="Tahoma" w:hAnsi="Tahoma" w:cs="Tahoma"/>
          <w:szCs w:val="20"/>
        </w:rPr>
        <w:t>нейминг</w:t>
      </w:r>
      <w:proofErr w:type="spellEnd"/>
      <w:r w:rsidRPr="009B0C3D">
        <w:rPr>
          <w:rFonts w:ascii="Tahoma" w:hAnsi="Tahoma" w:cs="Tahoma"/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9B0C3D">
        <w:rPr>
          <w:rFonts w:ascii="Tahoma" w:hAnsi="Tahoma" w:cs="Tahoma"/>
          <w:szCs w:val="20"/>
        </w:rPr>
        <w:t>неймингов</w:t>
      </w:r>
      <w:proofErr w:type="spellEnd"/>
      <w:r w:rsidRPr="009B0C3D">
        <w:rPr>
          <w:rFonts w:ascii="Tahoma" w:hAnsi="Tahoma" w:cs="Tahoma"/>
          <w:szCs w:val="20"/>
        </w:rPr>
        <w:t xml:space="preserve"> ESB_PLUS, IES-GARANT и </w:t>
      </w:r>
      <w:r w:rsidRPr="009B0C3D">
        <w:rPr>
          <w:rFonts w:ascii="Tahoma" w:hAnsi="Tahoma" w:cs="Tahoma"/>
          <w:szCs w:val="20"/>
          <w:lang w:val="en-US"/>
        </w:rPr>
        <w:t>JOB</w:t>
      </w:r>
      <w:r w:rsidRPr="009B0C3D">
        <w:rPr>
          <w:rFonts w:ascii="Tahoma" w:hAnsi="Tahoma" w:cs="Tahoma"/>
          <w:szCs w:val="20"/>
        </w:rPr>
        <w:t>_</w:t>
      </w:r>
      <w:r w:rsidRPr="009B0C3D">
        <w:rPr>
          <w:rFonts w:ascii="Tahoma" w:hAnsi="Tahoma" w:cs="Tahoma"/>
          <w:szCs w:val="20"/>
          <w:lang w:val="en-US"/>
        </w:rPr>
        <w:t>ESPLUS</w:t>
      </w:r>
      <w:r w:rsidRPr="009B0C3D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9B0C3D">
        <w:rPr>
          <w:rFonts w:ascii="Tahoma" w:hAnsi="Tahoma" w:cs="Tahoma"/>
          <w:szCs w:val="20"/>
        </w:rPr>
        <w:t>нейминги</w:t>
      </w:r>
      <w:proofErr w:type="spellEnd"/>
      <w:r w:rsidRPr="009B0C3D">
        <w:rPr>
          <w:rFonts w:ascii="Tahoma" w:hAnsi="Tahoma" w:cs="Tahoma"/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:rsidR="009B0C3D" w:rsidRPr="009B0C3D" w:rsidRDefault="009B0C3D" w:rsidP="009B0C3D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9B0C3D">
        <w:rPr>
          <w:rFonts w:ascii="Tahoma" w:hAnsi="Tahoma" w:cs="Tahoma"/>
          <w:szCs w:val="20"/>
        </w:rPr>
        <w:t>Роскомнадзора</w:t>
      </w:r>
      <w:proofErr w:type="spellEnd"/>
      <w:r w:rsidRPr="009B0C3D">
        <w:rPr>
          <w:rFonts w:ascii="Tahoma" w:hAnsi="Tahoma" w:cs="Tahoma"/>
          <w:szCs w:val="20"/>
        </w:rPr>
        <w:t xml:space="preserve"> (</w:t>
      </w:r>
      <w:hyperlink r:id="rId11" w:history="1">
        <w:r w:rsidRPr="009B0C3D">
          <w:rPr>
            <w:rStyle w:val="a7"/>
            <w:rFonts w:ascii="Tahoma" w:hAnsi="Tahoma" w:cs="Tahoma"/>
            <w:szCs w:val="20"/>
          </w:rPr>
          <w:t>https://service.rkn.gov.ru/monitoring/rph</w:t>
        </w:r>
      </w:hyperlink>
      <w:r w:rsidRPr="009B0C3D">
        <w:rPr>
          <w:rFonts w:ascii="Tahoma" w:hAnsi="Tahoma" w:cs="Tahoma"/>
          <w:szCs w:val="20"/>
        </w:rPr>
        <w:t>).</w:t>
      </w:r>
    </w:p>
    <w:p w:rsidR="009B0C3D" w:rsidRPr="009B0C3D" w:rsidRDefault="009B0C3D" w:rsidP="009B0C3D">
      <w:pPr>
        <w:pStyle w:val="1"/>
        <w:spacing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:rsidR="009B0C3D" w:rsidRPr="009B0C3D" w:rsidRDefault="009B0C3D" w:rsidP="009B0C3D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9B0C3D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:rsidR="009B0C3D" w:rsidRPr="009B0C3D" w:rsidRDefault="009B0C3D" w:rsidP="009B0C3D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9B0C3D" w:rsidRPr="009B0C3D" w:rsidRDefault="009B0C3D" w:rsidP="009B0C3D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9B0C3D" w:rsidRPr="009B0C3D" w:rsidRDefault="009B0C3D" w:rsidP="009B0C3D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9B0C3D">
        <w:rPr>
          <w:rFonts w:ascii="Tahoma" w:hAnsi="Tahoma" w:cs="Tahoma"/>
          <w:szCs w:val="20"/>
        </w:rPr>
        <w:t>mail</w:t>
      </w:r>
      <w:proofErr w:type="spellEnd"/>
      <w:r w:rsidRPr="009B0C3D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9B0C3D" w:rsidRPr="009B0C3D" w:rsidRDefault="009B0C3D" w:rsidP="009B0C3D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9B0C3D" w:rsidRPr="009B0C3D" w:rsidRDefault="009B0C3D" w:rsidP="009B0C3D">
      <w:pPr>
        <w:spacing w:after="0" w:line="240" w:lineRule="auto"/>
        <w:rPr>
          <w:rFonts w:ascii="Tahoma" w:hAnsi="Tahoma" w:cs="Tahoma"/>
          <w:szCs w:val="20"/>
        </w:rPr>
      </w:pPr>
    </w:p>
    <w:p w:rsidR="009B0C3D" w:rsidRPr="009B0C3D" w:rsidRDefault="009B0C3D" w:rsidP="009B0C3D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9B0C3D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9B0C3D">
        <w:rPr>
          <w:rFonts w:ascii="Tahoma" w:hAnsi="Tahoma" w:cs="Tahoma"/>
          <w:szCs w:val="20"/>
        </w:rPr>
        <w:t>pinning</w:t>
      </w:r>
      <w:proofErr w:type="spellEnd"/>
      <w:r w:rsidRPr="009B0C3D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9B0C3D">
        <w:rPr>
          <w:rFonts w:ascii="Tahoma" w:hAnsi="Tahoma" w:cs="Tahoma"/>
          <w:szCs w:val="20"/>
        </w:rPr>
        <w:t>strict-transport-security</w:t>
      </w:r>
      <w:proofErr w:type="spellEnd"/>
      <w:r w:rsidRPr="009B0C3D">
        <w:rPr>
          <w:rFonts w:ascii="Tahoma" w:hAnsi="Tahoma" w:cs="Tahoma"/>
          <w:szCs w:val="20"/>
        </w:rPr>
        <w:t xml:space="preserve"> (HSTS) заголовки.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9B0C3D">
        <w:rPr>
          <w:rFonts w:ascii="Tahoma" w:hAnsi="Tahoma" w:cs="Tahoma"/>
          <w:szCs w:val="20"/>
        </w:rPr>
        <w:t>Cookie</w:t>
      </w:r>
      <w:proofErr w:type="spellEnd"/>
      <w:r w:rsidRPr="009B0C3D">
        <w:rPr>
          <w:rFonts w:ascii="Tahoma" w:hAnsi="Tahoma" w:cs="Tahoma"/>
          <w:szCs w:val="20"/>
        </w:rPr>
        <w:t xml:space="preserve"> должны быть </w:t>
      </w:r>
      <w:proofErr w:type="spellStart"/>
      <w:r w:rsidRPr="009B0C3D">
        <w:rPr>
          <w:rFonts w:ascii="Tahoma" w:hAnsi="Tahoma" w:cs="Tahoma"/>
          <w:szCs w:val="20"/>
        </w:rPr>
        <w:t>httponly</w:t>
      </w:r>
      <w:proofErr w:type="spellEnd"/>
      <w:r w:rsidRPr="009B0C3D">
        <w:rPr>
          <w:rFonts w:ascii="Tahoma" w:hAnsi="Tahoma" w:cs="Tahoma"/>
          <w:szCs w:val="20"/>
        </w:rPr>
        <w:t xml:space="preserve"> и ограничены путем и доменом.</w:t>
      </w:r>
    </w:p>
    <w:p w:rsidR="009B0C3D" w:rsidRPr="009B0C3D" w:rsidRDefault="009B0C3D" w:rsidP="009B0C3D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9B0C3D">
        <w:rPr>
          <w:rFonts w:ascii="Tahoma" w:hAnsi="Tahoma" w:cs="Tahoma"/>
          <w:szCs w:val="20"/>
        </w:rPr>
        <w:t>Content</w:t>
      </w:r>
      <w:proofErr w:type="spellEnd"/>
      <w:r w:rsidRPr="009B0C3D">
        <w:rPr>
          <w:rFonts w:ascii="Tahoma" w:hAnsi="Tahoma" w:cs="Tahoma"/>
          <w:szCs w:val="20"/>
        </w:rPr>
        <w:t xml:space="preserve"> </w:t>
      </w:r>
      <w:proofErr w:type="spellStart"/>
      <w:r w:rsidRPr="009B0C3D">
        <w:rPr>
          <w:rFonts w:ascii="Tahoma" w:hAnsi="Tahoma" w:cs="Tahoma"/>
          <w:szCs w:val="20"/>
        </w:rPr>
        <w:t>Security</w:t>
      </w:r>
      <w:proofErr w:type="spellEnd"/>
      <w:r w:rsidRPr="009B0C3D">
        <w:rPr>
          <w:rFonts w:ascii="Tahoma" w:hAnsi="Tahoma" w:cs="Tahoma"/>
          <w:szCs w:val="20"/>
        </w:rPr>
        <w:t xml:space="preserve"> </w:t>
      </w:r>
      <w:proofErr w:type="spellStart"/>
      <w:r w:rsidRPr="009B0C3D">
        <w:rPr>
          <w:rFonts w:ascii="Tahoma" w:hAnsi="Tahoma" w:cs="Tahoma"/>
          <w:szCs w:val="20"/>
        </w:rPr>
        <w:t>Policy</w:t>
      </w:r>
      <w:proofErr w:type="spellEnd"/>
      <w:r w:rsidRPr="009B0C3D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9B0C3D" w:rsidRPr="009B0C3D" w:rsidRDefault="009B0C3D" w:rsidP="009B0C3D">
      <w:pPr>
        <w:spacing w:after="0" w:line="240" w:lineRule="auto"/>
        <w:rPr>
          <w:rFonts w:ascii="Tahoma" w:hAnsi="Tahoma" w:cs="Tahoma"/>
          <w:szCs w:val="20"/>
        </w:rPr>
      </w:pPr>
    </w:p>
    <w:p w:rsidR="009B0C3D" w:rsidRPr="009B0C3D" w:rsidRDefault="009B0C3D" w:rsidP="009B0C3D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5. </w:t>
      </w:r>
      <w:r w:rsidRPr="009B0C3D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:rsidR="009B0C3D" w:rsidRPr="009B0C3D" w:rsidRDefault="009B0C3D" w:rsidP="009B0C3D">
      <w:pPr>
        <w:spacing w:after="0" w:line="240" w:lineRule="auto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9B0C3D" w:rsidRPr="009B0C3D" w:rsidRDefault="009B0C3D" w:rsidP="009B0C3D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5.2. </w:t>
      </w:r>
      <w:r w:rsidRPr="009B0C3D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9B0C3D" w:rsidRPr="009B0C3D" w:rsidRDefault="009B0C3D" w:rsidP="009B0C3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9B0C3D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9B0C3D">
        <w:rPr>
          <w:rFonts w:ascii="Tahoma" w:hAnsi="Tahoma" w:cs="Tahoma"/>
          <w:szCs w:val="20"/>
        </w:rPr>
        <w:t xml:space="preserve">. </w:t>
      </w:r>
    </w:p>
    <w:p w:rsidR="009B0C3D" w:rsidRPr="009B0C3D" w:rsidRDefault="009B0C3D" w:rsidP="009B0C3D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 </w:t>
      </w:r>
    </w:p>
    <w:p w:rsidR="00CA22EE" w:rsidRPr="00CA22EE" w:rsidRDefault="00CA22EE">
      <w:pPr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№2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744"/>
        <w:gridCol w:w="2733"/>
      </w:tblGrid>
      <w:tr w:rsidR="00933F0C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Default="00933F0C" w:rsidP="00384C9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Tr="00384C93">
        <w:trPr>
          <w:trHeight w:val="584"/>
        </w:trPr>
        <w:tc>
          <w:tcPr>
            <w:tcW w:w="287" w:type="pct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933F0C" w:rsidRDefault="009B0C3D" w:rsidP="00384C93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Рассылка СМС </w:t>
            </w:r>
            <w:r>
              <w:rPr>
                <w:rFonts w:ascii="Tahoma" w:hAnsi="Tahoma" w:cs="Tahoma"/>
                <w:szCs w:val="20"/>
              </w:rPr>
              <w:t>абонентам Мегафон с указанием буквенного имени</w:t>
            </w:r>
          </w:p>
        </w:tc>
        <w:tc>
          <w:tcPr>
            <w:tcW w:w="1360" w:type="pct"/>
            <w:vAlign w:val="center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tabs>
          <w:tab w:val="left" w:pos="4366"/>
        </w:tabs>
        <w:rPr>
          <w:rFonts w:ascii="Tahoma" w:hAnsi="Tahoma" w:cs="Tahoma"/>
        </w:rPr>
      </w:pPr>
      <w:r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>
        <w:rPr>
          <w:rFonts w:ascii="Tahoma" w:hAnsi="Tahoma" w:cs="Tahoma"/>
          <w:b/>
        </w:rPr>
        <w:t xml:space="preserve">отправленного </w:t>
      </w:r>
      <w:r>
        <w:rPr>
          <w:rFonts w:ascii="Tahoma" w:hAnsi="Tahoma" w:cs="Tahoma"/>
        </w:rPr>
        <w:t>сообщения.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№3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№ Вн-Д-02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Исполнитель: </w:t>
      </w:r>
    </w:p>
    <w:p w:rsidR="00933F0C" w:rsidRDefault="00933F0C" w:rsidP="00933F0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Адрес: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КПП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Адрес: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 КПП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Договор: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Pr="00933F0C" w:rsidRDefault="00893EB5" w:rsidP="00933F0C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Доставка СМС </w:t>
            </w:r>
            <w:r>
              <w:rPr>
                <w:rFonts w:ascii="Tahoma" w:hAnsi="Tahoma" w:cs="Tahoma"/>
                <w:szCs w:val="20"/>
              </w:rPr>
              <w:t>абонентам Мегафон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>
        <w:rPr>
          <w:rFonts w:ascii="Tahoma" w:hAnsi="Tahoma" w:cs="Tahoma"/>
          <w:szCs w:val="20"/>
        </w:rPr>
        <w:t>т.ч</w:t>
      </w:r>
      <w:proofErr w:type="spellEnd"/>
      <w:r>
        <w:rPr>
          <w:rFonts w:ascii="Tahoma" w:hAnsi="Tahoma" w:cs="Tahoma"/>
          <w:szCs w:val="20"/>
        </w:rPr>
        <w:t>. НДС.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Приложение №4</w:t>
      </w:r>
    </w:p>
    <w:p w:rsidR="00933F0C" w:rsidRDefault="00933F0C" w:rsidP="00933F0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Default="00933F0C" w:rsidP="00933F0C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от «___</w:t>
      </w:r>
      <w:proofErr w:type="gramStart"/>
      <w:r>
        <w:rPr>
          <w:rFonts w:ascii="Tahoma" w:eastAsia="Times New Roman" w:hAnsi="Tahoma" w:cs="Tahoma"/>
          <w:szCs w:val="20"/>
        </w:rPr>
        <w:t>_»_</w:t>
      </w:r>
      <w:proofErr w:type="gramEnd"/>
      <w:r>
        <w:rPr>
          <w:rFonts w:ascii="Tahoma" w:eastAsia="Times New Roman" w:hAnsi="Tahoma" w:cs="Tahoma"/>
          <w:szCs w:val="20"/>
        </w:rPr>
        <w:t>___________20__г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933F0C" w:rsidTr="00384C93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c>
          <w:tcPr>
            <w:tcW w:w="617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Подпись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sectPr w:rsidR="00CA22EE" w:rsidRPr="00CA22EE" w:rsidSect="00384C9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46" w:rsidRDefault="00DF3046" w:rsidP="005D719A">
      <w:pPr>
        <w:spacing w:after="0" w:line="240" w:lineRule="auto"/>
      </w:pPr>
      <w:r>
        <w:separator/>
      </w:r>
    </w:p>
  </w:endnote>
  <w:endnote w:type="continuationSeparator" w:id="0">
    <w:p w:rsidR="00DF3046" w:rsidRDefault="00DF3046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46" w:rsidRDefault="00DF3046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DF3046" w:rsidRDefault="00DF30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F3046" w:rsidRDefault="00DF304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CF5">
          <w:rPr>
            <w:noProof/>
          </w:rPr>
          <w:t>20</w:t>
        </w:r>
        <w:r>
          <w:fldChar w:fldCharType="end"/>
        </w:r>
      </w:p>
    </w:sdtContent>
  </w:sdt>
  <w:p w:rsidR="00DF3046" w:rsidRPr="00A625EE" w:rsidRDefault="00DF3046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46" w:rsidRDefault="00DF3046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46" w:rsidRDefault="00DF3046" w:rsidP="005D719A">
      <w:pPr>
        <w:spacing w:after="0" w:line="240" w:lineRule="auto"/>
      </w:pPr>
      <w:r>
        <w:separator/>
      </w:r>
    </w:p>
  </w:footnote>
  <w:footnote w:type="continuationSeparator" w:id="0">
    <w:p w:rsidR="00DF3046" w:rsidRDefault="00DF3046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46" w:rsidRDefault="00DF3046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DF3046" w:rsidRDefault="00DF304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46" w:rsidRPr="003A69F1" w:rsidRDefault="00DF3046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16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18"/>
  </w:num>
  <w:num w:numId="13">
    <w:abstractNumId w:val="6"/>
  </w:num>
  <w:num w:numId="14">
    <w:abstractNumId w:val="0"/>
  </w:num>
  <w:num w:numId="15">
    <w:abstractNumId w:val="13"/>
  </w:num>
  <w:num w:numId="16">
    <w:abstractNumId w:val="17"/>
  </w:num>
  <w:num w:numId="17">
    <w:abstractNumId w:val="3"/>
  </w:num>
  <w:num w:numId="18">
    <w:abstractNumId w:val="8"/>
  </w:num>
  <w:num w:numId="19">
    <w:abstractNumId w:val="19"/>
  </w:num>
  <w:num w:numId="20">
    <w:abstractNumId w:val="15"/>
  </w:num>
  <w:num w:numId="21">
    <w:abstractNumId w:val="14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131E1F"/>
    <w:rsid w:val="00171184"/>
    <w:rsid w:val="00281FFE"/>
    <w:rsid w:val="003311A9"/>
    <w:rsid w:val="00384C93"/>
    <w:rsid w:val="00390CF5"/>
    <w:rsid w:val="004219A8"/>
    <w:rsid w:val="005D719A"/>
    <w:rsid w:val="0066506C"/>
    <w:rsid w:val="00891C4B"/>
    <w:rsid w:val="00893EB5"/>
    <w:rsid w:val="00933F0C"/>
    <w:rsid w:val="009B0C3D"/>
    <w:rsid w:val="00CA22EE"/>
    <w:rsid w:val="00CF5703"/>
    <w:rsid w:val="00D52ED8"/>
    <w:rsid w:val="00DF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B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0C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.Assonov@esplus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rkn.gov.ru/monitoring/rp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.Sviridov@esplu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20</Pages>
  <Words>12069</Words>
  <Characters>68798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Абрамова Анна Владимировна</cp:lastModifiedBy>
  <cp:revision>8</cp:revision>
  <dcterms:created xsi:type="dcterms:W3CDTF">2024-10-15T06:17:00Z</dcterms:created>
  <dcterms:modified xsi:type="dcterms:W3CDTF">2024-10-16T11:23:00Z</dcterms:modified>
</cp:coreProperties>
</file>